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ТЕХНИЧЕСКОЕ ЗАДАНИЕ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реализацию б/у аккумуляторных батарей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0"/>
        <w:rPr>
          <w:szCs w:val="22"/>
        </w:rPr>
      </w:pPr>
      <w:r>
        <w:rPr>
          <w:sz w:val="22"/>
          <w:szCs w:val="22"/>
        </w:rPr>
        <w:tab/>
      </w:r>
      <w:r>
        <w:rPr>
          <w:b/>
          <w:szCs w:val="22"/>
        </w:rPr>
        <w:t xml:space="preserve">1. Реализуемое имущество:</w:t>
      </w:r>
      <w:r>
        <w:rPr>
          <w:szCs w:val="22"/>
        </w:rPr>
        <w:t xml:space="preserve"> аккумуляторные батареи, отслужившие установленный срок эксплуатации.</w:t>
      </w:r>
      <w:r>
        <w:rPr>
          <w:szCs w:val="22"/>
        </w:rPr>
      </w:r>
      <w:r>
        <w:rPr>
          <w:szCs w:val="22"/>
        </w:rPr>
      </w:r>
    </w:p>
    <w:p>
      <w:pPr>
        <w:pStyle w:val="882"/>
        <w:ind w:firstLine="0"/>
        <w:rPr>
          <w:b/>
          <w:szCs w:val="22"/>
        </w:rPr>
      </w:pPr>
      <w:r>
        <w:rPr>
          <w:b/>
          <w:szCs w:val="22"/>
        </w:rPr>
        <w:tab/>
        <w:t xml:space="preserve">2.</w:t>
      </w:r>
      <w:r>
        <w:rPr>
          <w:b/>
          <w:szCs w:val="22"/>
        </w:rPr>
        <w:t xml:space="preserve"> </w:t>
      </w:r>
      <w:r>
        <w:rPr>
          <w:b/>
          <w:szCs w:val="22"/>
        </w:rPr>
        <w:t xml:space="preserve">Начальная минимальная цена договора:</w:t>
      </w:r>
      <w:r>
        <w:rPr>
          <w:szCs w:val="22"/>
        </w:rPr>
        <w:t xml:space="preserve"> 71 660,00 руб.</w:t>
      </w:r>
      <w:r>
        <w:rPr>
          <w:b/>
          <w:szCs w:val="22"/>
        </w:rPr>
      </w:r>
      <w:r>
        <w:rPr>
          <w:b/>
          <w:szCs w:val="22"/>
        </w:rPr>
      </w:r>
    </w:p>
    <w:p>
      <w:pPr>
        <w:pStyle w:val="882"/>
        <w:ind w:firstLine="0"/>
        <w:rPr>
          <w:b/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 xml:space="preserve">3. </w:t>
      </w:r>
      <w:r>
        <w:rPr>
          <w:b/>
          <w:szCs w:val="22"/>
        </w:rPr>
        <w:t xml:space="preserve">Ад</w:t>
      </w:r>
      <w:r>
        <w:rPr>
          <w:b/>
          <w:szCs w:val="22"/>
        </w:rPr>
        <w:t xml:space="preserve">рес местонахождения: </w:t>
      </w:r>
      <w:r>
        <w:rPr>
          <w:szCs w:val="22"/>
        </w:rPr>
        <w:t xml:space="preserve">РБ, ГО г. Уфа, ул. Ст. Злобина 31/4 (территория</w:t>
      </w:r>
      <w:r>
        <w:rPr>
          <w:szCs w:val="22"/>
        </w:rPr>
        <w:t xml:space="preserve"> Автотранспортного цеха</w:t>
      </w:r>
      <w:r>
        <w:rPr>
          <w:szCs w:val="22"/>
        </w:rPr>
        <w:t xml:space="preserve"> МУП УИС)</w:t>
      </w:r>
      <w:r>
        <w:rPr>
          <w:b/>
          <w:szCs w:val="22"/>
        </w:rPr>
      </w:r>
      <w:r>
        <w:rPr>
          <w:b/>
          <w:szCs w:val="22"/>
        </w:rPr>
      </w:r>
    </w:p>
    <w:p>
      <w:pPr>
        <w:pStyle w:val="882"/>
        <w:ind w:firstLine="0"/>
        <w:rPr>
          <w:b/>
          <w:szCs w:val="22"/>
        </w:rPr>
      </w:pPr>
      <w:r>
        <w:rPr>
          <w:szCs w:val="22"/>
        </w:rPr>
        <w:tab/>
      </w:r>
      <w:r>
        <w:rPr>
          <w:b/>
          <w:szCs w:val="22"/>
        </w:rPr>
        <w:t xml:space="preserve">4</w:t>
      </w:r>
      <w:r>
        <w:rPr>
          <w:b/>
          <w:szCs w:val="22"/>
        </w:rPr>
        <w:t xml:space="preserve">. Перечень аккумуляторных батарей:</w:t>
      </w:r>
      <w:r>
        <w:rPr>
          <w:b/>
          <w:szCs w:val="22"/>
        </w:rPr>
      </w:r>
      <w:r>
        <w:rPr>
          <w:b/>
          <w:szCs w:val="22"/>
        </w:rPr>
      </w:r>
    </w:p>
    <w:p>
      <w:pPr>
        <w:pStyle w:val="882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435"/>
        <w:gridCol w:w="5525"/>
        <w:gridCol w:w="992"/>
        <w:gridCol w:w="1276"/>
        <w:gridCol w:w="1417"/>
      </w:tblGrid>
      <w:tr>
        <w:tblPrEx/>
        <w:trPr>
          <w:trHeight w:val="5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Кол-во, 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Цена за шт., руб.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Сумма, руб.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5" w:type="dxa"/>
            <w:vAlign w:val="center"/>
            <w:textDirection w:val="lrTb"/>
            <w:noWrap w:val="false"/>
          </w:tcPr>
          <w:p>
            <w:pPr>
              <w:ind w:left="57" w:right="57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АКБ 6ст-60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425,00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9 350,00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5" w:type="dxa"/>
            <w:vAlign w:val="center"/>
            <w:textDirection w:val="lrTb"/>
            <w:noWrap w:val="false"/>
          </w:tcPr>
          <w:p>
            <w:pPr>
              <w:ind w:left="57" w:right="57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АКБ 6ст-75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477,50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10 982,50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5" w:type="dxa"/>
            <w:vAlign w:val="center"/>
            <w:textDirection w:val="lrTb"/>
            <w:noWrap w:val="false"/>
          </w:tcPr>
          <w:p>
            <w:pPr>
              <w:ind w:left="57" w:right="57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АКБ 6ст-90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595,00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2 975,00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5" w:type="dxa"/>
            <w:vAlign w:val="center"/>
            <w:textDirection w:val="lrTb"/>
            <w:noWrap w:val="false"/>
          </w:tcPr>
          <w:p>
            <w:pPr>
              <w:ind w:left="57" w:right="57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АКБ 6ст-132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975,00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20 475,00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5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5" w:type="dxa"/>
            <w:vAlign w:val="center"/>
            <w:textDirection w:val="lrTb"/>
            <w:noWrap w:val="false"/>
          </w:tcPr>
          <w:p>
            <w:pPr>
              <w:ind w:left="57" w:right="57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АКБ 6ст-190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1 327,50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27 877,50</w:t>
            </w:r>
            <w:r/>
          </w:p>
        </w:tc>
      </w:tr>
      <w:tr>
        <w:tblPrEx/>
        <w:trPr>
          <w:trHeight w:val="285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60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ИТОГО: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57" w:right="57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57" w:right="57"/>
              <w:jc w:val="right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71 660,00</w:t>
            </w:r>
            <w:r/>
          </w:p>
        </w:tc>
      </w:tr>
    </w:tbl>
    <w:p>
      <w:pPr>
        <w:pStyle w:val="882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82"/>
        <w:ind w:firstLine="0"/>
        <w:rPr>
          <w:szCs w:val="22"/>
        </w:rPr>
      </w:pPr>
      <w:r>
        <w:rPr>
          <w:szCs w:val="22"/>
        </w:rPr>
        <w:tab/>
      </w:r>
      <w:r>
        <w:rPr>
          <w:b/>
          <w:szCs w:val="22"/>
        </w:rPr>
        <w:t xml:space="preserve">4. Требования:</w:t>
      </w:r>
      <w:r>
        <w:rPr>
          <w:szCs w:val="22"/>
        </w:rPr>
        <w:t xml:space="preserve"> </w:t>
      </w:r>
      <w:r>
        <w:rPr>
          <w:szCs w:val="22"/>
        </w:rPr>
      </w:r>
      <w:r>
        <w:rPr>
          <w:szCs w:val="22"/>
        </w:rPr>
      </w:r>
    </w:p>
    <w:p>
      <w:pPr>
        <w:pStyle w:val="882"/>
        <w:ind w:firstLine="0"/>
        <w:rPr>
          <w:szCs w:val="22"/>
        </w:rPr>
      </w:pPr>
      <w:r>
        <w:rPr>
          <w:szCs w:val="22"/>
        </w:rPr>
        <w:tab/>
        <w:t xml:space="preserve">Погрузка, в</w:t>
      </w:r>
      <w:r>
        <w:rPr>
          <w:szCs w:val="22"/>
        </w:rPr>
        <w:t xml:space="preserve">ывоз аккумуляторных батарей, их разборка, очистка осуществляется силами Покупателя.</w:t>
      </w:r>
      <w:r>
        <w:rPr>
          <w:szCs w:val="22"/>
        </w:rPr>
        <w:t xml:space="preserve"> </w:t>
      </w:r>
      <w:r>
        <w:rPr>
          <w:szCs w:val="22"/>
        </w:rPr>
        <w:t xml:space="preserve">Вывоз аккумуляторных батарей осуществляется персоналом и автотранспортом за счет Покупателя. Подача заявки на отпуск в день отгрузки за 2 часа.</w:t>
      </w:r>
      <w:r>
        <w:rPr>
          <w:szCs w:val="22"/>
        </w:rPr>
      </w:r>
      <w:r>
        <w:rPr>
          <w:szCs w:val="22"/>
        </w:rPr>
      </w:r>
    </w:p>
    <w:p>
      <w:pPr>
        <w:pStyle w:val="882"/>
        <w:ind w:firstLine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 xml:space="preserve">По рез</w:t>
      </w:r>
      <w:r>
        <w:rPr>
          <w:szCs w:val="22"/>
        </w:rPr>
        <w:t xml:space="preserve">ультату отгрузки товара оформляю</w:t>
      </w:r>
      <w:r>
        <w:rPr>
          <w:szCs w:val="22"/>
        </w:rPr>
        <w:t xml:space="preserve">тся </w:t>
      </w:r>
      <w:r>
        <w:rPr>
          <w:szCs w:val="22"/>
        </w:rPr>
        <w:t xml:space="preserve">товарная накладная, счёт-фактура и</w:t>
      </w:r>
      <w:r>
        <w:rPr>
          <w:szCs w:val="22"/>
        </w:rPr>
        <w:t xml:space="preserve"> акт</w:t>
      </w:r>
      <w:r>
        <w:rPr>
          <w:szCs w:val="22"/>
        </w:rPr>
        <w:t xml:space="preserve"> приёма/передачи</w:t>
      </w:r>
      <w:r>
        <w:rPr>
          <w:szCs w:val="22"/>
        </w:rPr>
        <w:t xml:space="preserve"> в присутс</w:t>
      </w:r>
      <w:r>
        <w:rPr>
          <w:szCs w:val="22"/>
        </w:rPr>
        <w:t xml:space="preserve">твии представителя Поставщика. По о</w:t>
      </w:r>
      <w:r>
        <w:rPr>
          <w:szCs w:val="22"/>
        </w:rPr>
        <w:t xml:space="preserve">д</w:t>
      </w:r>
      <w:r>
        <w:rPr>
          <w:szCs w:val="22"/>
        </w:rPr>
        <w:t xml:space="preserve">ному экземпляру</w:t>
      </w:r>
      <w:r>
        <w:rPr>
          <w:szCs w:val="22"/>
        </w:rPr>
        <w:t xml:space="preserve"> </w:t>
      </w:r>
      <w:r>
        <w:rPr>
          <w:szCs w:val="22"/>
        </w:rPr>
        <w:t xml:space="preserve">товарной накладной и </w:t>
      </w:r>
      <w:r>
        <w:rPr>
          <w:szCs w:val="22"/>
        </w:rPr>
        <w:t xml:space="preserve">а</w:t>
      </w:r>
      <w:r>
        <w:rPr>
          <w:szCs w:val="22"/>
        </w:rPr>
        <w:t xml:space="preserve">кта</w:t>
      </w:r>
      <w:r>
        <w:rPr>
          <w:szCs w:val="22"/>
        </w:rPr>
        <w:t xml:space="preserve"> приёма</w:t>
      </w:r>
      <w:r>
        <w:rPr>
          <w:szCs w:val="22"/>
        </w:rPr>
        <w:t xml:space="preserve">/передачи,</w:t>
      </w:r>
      <w:r>
        <w:rPr>
          <w:szCs w:val="22"/>
        </w:rPr>
        <w:t xml:space="preserve"> подписанных</w:t>
      </w:r>
      <w:r>
        <w:rPr>
          <w:szCs w:val="22"/>
        </w:rPr>
        <w:t xml:space="preserve"> Покупателем пер</w:t>
      </w:r>
      <w:r>
        <w:rPr>
          <w:szCs w:val="22"/>
        </w:rPr>
        <w:t xml:space="preserve">едается представителю Поставщика. </w:t>
      </w:r>
      <w:r>
        <w:rPr>
          <w:szCs w:val="22"/>
        </w:rPr>
      </w:r>
      <w:r>
        <w:rPr>
          <w:szCs w:val="22"/>
        </w:rPr>
      </w:r>
    </w:p>
    <w:p>
      <w:pPr>
        <w:pStyle w:val="882"/>
        <w:ind w:firstLine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 xml:space="preserve">Покупатель производит оплату в размере</w:t>
      </w:r>
      <w:r>
        <w:rPr>
          <w:szCs w:val="22"/>
        </w:rPr>
        <w:t xml:space="preserve"> 100% стоимости</w:t>
      </w:r>
      <w:r>
        <w:rPr>
          <w:szCs w:val="22"/>
        </w:rPr>
        <w:t xml:space="preserve"> по безналичному расчету, путём перечисления денежных средств на расчётный счёт Поставщика в течение 3 банковских дней с момента получения выставленного счета на оплату. </w:t>
      </w:r>
      <w:r>
        <w:rPr>
          <w:szCs w:val="22"/>
        </w:rPr>
      </w:r>
      <w:r>
        <w:rPr>
          <w:szCs w:val="22"/>
        </w:rPr>
      </w:r>
    </w:p>
    <w:p>
      <w:pPr>
        <w:pStyle w:val="83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0"/>
      </w:pPr>
      <w:r>
        <w:rPr>
          <w:szCs w:val="28"/>
        </w:rPr>
      </w:r>
      <w:r>
        <w:rPr>
          <w:szCs w:val="28"/>
        </w:rPr>
      </w:r>
      <w:r/>
    </w:p>
    <w:p>
      <w:pPr>
        <w:pStyle w:val="882"/>
        <w:ind w:firstLine="0"/>
      </w:pPr>
      <w:r/>
      <w:r/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sz w:val="24"/>
          <w:szCs w:val="24"/>
        </w:rPr>
      </w:pPr>
      <w:r>
        <w:rPr>
          <w:sz w:val="24"/>
          <w:szCs w:val="28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8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32"/>
        <w:jc w:val="left"/>
        <w:rPr>
          <w:sz w:val="24"/>
          <w:szCs w:val="24"/>
          <w:highlight w:val="none"/>
        </w:rPr>
      </w:pPr>
      <w:r>
        <w:rPr>
          <w:sz w:val="18"/>
        </w:rPr>
        <w:t xml:space="preserve"> </w:t>
      </w:r>
      <w:r>
        <w:rPr>
          <w:sz w:val="24"/>
          <w:szCs w:val="28"/>
        </w:rPr>
        <w:t xml:space="preserve">Начальник АТЦ</w:t>
      </w:r>
      <w:r>
        <w:rPr>
          <w:sz w:val="24"/>
          <w:szCs w:val="28"/>
        </w:rPr>
        <w:t xml:space="preserve">                                                       </w:t>
      </w:r>
      <w:r>
        <w:rPr>
          <w:sz w:val="24"/>
          <w:szCs w:val="28"/>
        </w:rPr>
        <w:t xml:space="preserve">                                             </w:t>
      </w:r>
      <w:r>
        <w:rPr>
          <w:sz w:val="24"/>
          <w:szCs w:val="28"/>
        </w:rPr>
        <w:t xml:space="preserve">      </w:t>
      </w:r>
      <w:r>
        <w:rPr>
          <w:sz w:val="24"/>
          <w:szCs w:val="28"/>
        </w:rPr>
        <w:t xml:space="preserve">У.Х Базянов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mbria">
    <w:panose1 w:val="02040503050406030204"/>
  </w:font>
  <w:font w:name="Microsoft YaHei">
    <w:panose1 w:val="020B0503020203020204"/>
  </w:font>
  <w:font w:name="Times New Roman">
    <w:panose1 w:val="02020603050405020304"/>
  </w:font>
  <w:font w:name="Mangal">
    <w:panose1 w:val="02040503050406030204"/>
  </w:font>
  <w:font w:name="OpenSymbol">
    <w:panose1 w:val="05010000000000000000"/>
  </w:font>
  <w:font w:name="Symbol">
    <w:panose1 w:val="05010000000000000000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lang w:val="ru-RU" w:eastAsia="ar-SA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tblPr/>
  </w:style>
  <w:style w:type="numbering" w:styleId="835">
    <w:name w:val="Нет списка"/>
    <w:next w:val="835"/>
    <w:link w:val="832"/>
    <w:uiPriority w:val="99"/>
    <w:semiHidden/>
    <w:unhideWhenUsed/>
  </w:style>
  <w:style w:type="character" w:styleId="836">
    <w:name w:val="Основной шрифт абзаца3"/>
    <w:next w:val="836"/>
    <w:link w:val="832"/>
  </w:style>
  <w:style w:type="character" w:styleId="837">
    <w:name w:val="WW8Num1z0"/>
    <w:next w:val="837"/>
    <w:link w:val="832"/>
    <w:rPr>
      <w:rFonts w:ascii="Symbol" w:hAnsi="Symbol" w:cs="OpenSymbol"/>
    </w:rPr>
  </w:style>
  <w:style w:type="character" w:styleId="838">
    <w:name w:val="WW8Num1z1"/>
    <w:next w:val="838"/>
    <w:link w:val="832"/>
  </w:style>
  <w:style w:type="character" w:styleId="839">
    <w:name w:val="WW8Num1z2"/>
    <w:next w:val="839"/>
    <w:link w:val="832"/>
  </w:style>
  <w:style w:type="character" w:styleId="840">
    <w:name w:val="WW8Num1z3"/>
    <w:next w:val="840"/>
    <w:link w:val="832"/>
  </w:style>
  <w:style w:type="character" w:styleId="841">
    <w:name w:val="WW8Num1z4"/>
    <w:next w:val="841"/>
    <w:link w:val="832"/>
  </w:style>
  <w:style w:type="character" w:styleId="842">
    <w:name w:val="WW8Num1z5"/>
    <w:next w:val="842"/>
    <w:link w:val="832"/>
  </w:style>
  <w:style w:type="character" w:styleId="843">
    <w:name w:val="WW8Num1z6"/>
    <w:next w:val="843"/>
    <w:link w:val="832"/>
  </w:style>
  <w:style w:type="character" w:styleId="844">
    <w:name w:val="WW8Num1z7"/>
    <w:next w:val="844"/>
    <w:link w:val="832"/>
  </w:style>
  <w:style w:type="character" w:styleId="845">
    <w:name w:val="WW8Num1z8"/>
    <w:next w:val="845"/>
    <w:link w:val="832"/>
  </w:style>
  <w:style w:type="character" w:styleId="846">
    <w:name w:val="WW8Num2z0"/>
    <w:next w:val="846"/>
    <w:link w:val="832"/>
  </w:style>
  <w:style w:type="character" w:styleId="847">
    <w:name w:val="WW8Num2z1"/>
    <w:next w:val="847"/>
    <w:link w:val="832"/>
  </w:style>
  <w:style w:type="character" w:styleId="848">
    <w:name w:val="WW8Num2z2"/>
    <w:next w:val="848"/>
    <w:link w:val="832"/>
  </w:style>
  <w:style w:type="character" w:styleId="849">
    <w:name w:val="WW8Num2z3"/>
    <w:next w:val="849"/>
    <w:link w:val="832"/>
  </w:style>
  <w:style w:type="character" w:styleId="850">
    <w:name w:val="WW8Num2z4"/>
    <w:next w:val="850"/>
    <w:link w:val="832"/>
  </w:style>
  <w:style w:type="character" w:styleId="851">
    <w:name w:val="WW8Num2z5"/>
    <w:next w:val="851"/>
    <w:link w:val="832"/>
  </w:style>
  <w:style w:type="character" w:styleId="852">
    <w:name w:val="WW8Num2z6"/>
    <w:next w:val="852"/>
    <w:link w:val="832"/>
  </w:style>
  <w:style w:type="character" w:styleId="853">
    <w:name w:val="WW8Num2z7"/>
    <w:next w:val="853"/>
    <w:link w:val="832"/>
  </w:style>
  <w:style w:type="character" w:styleId="854">
    <w:name w:val="WW8Num2z8"/>
    <w:next w:val="854"/>
    <w:link w:val="832"/>
  </w:style>
  <w:style w:type="character" w:styleId="855">
    <w:name w:val="WW8Num3z0"/>
    <w:next w:val="855"/>
    <w:link w:val="832"/>
  </w:style>
  <w:style w:type="character" w:styleId="856">
    <w:name w:val="WW8Num3z1"/>
    <w:next w:val="856"/>
    <w:link w:val="832"/>
  </w:style>
  <w:style w:type="character" w:styleId="857">
    <w:name w:val="WW8Num3z2"/>
    <w:next w:val="857"/>
    <w:link w:val="832"/>
  </w:style>
  <w:style w:type="character" w:styleId="858">
    <w:name w:val="WW8Num3z3"/>
    <w:next w:val="858"/>
    <w:link w:val="832"/>
  </w:style>
  <w:style w:type="character" w:styleId="859">
    <w:name w:val="WW8Num3z4"/>
    <w:next w:val="859"/>
    <w:link w:val="832"/>
  </w:style>
  <w:style w:type="character" w:styleId="860">
    <w:name w:val="WW8Num3z5"/>
    <w:next w:val="860"/>
    <w:link w:val="832"/>
  </w:style>
  <w:style w:type="character" w:styleId="861">
    <w:name w:val="WW8Num3z6"/>
    <w:next w:val="861"/>
    <w:link w:val="832"/>
  </w:style>
  <w:style w:type="character" w:styleId="862">
    <w:name w:val="WW8Num3z7"/>
    <w:next w:val="862"/>
    <w:link w:val="832"/>
  </w:style>
  <w:style w:type="character" w:styleId="863">
    <w:name w:val="WW8Num3z8"/>
    <w:next w:val="863"/>
    <w:link w:val="832"/>
  </w:style>
  <w:style w:type="character" w:styleId="864">
    <w:name w:val="Основной шрифт абзаца2"/>
    <w:next w:val="864"/>
    <w:link w:val="832"/>
  </w:style>
  <w:style w:type="character" w:styleId="865">
    <w:name w:val="Основной шрифт абзаца1"/>
    <w:next w:val="865"/>
    <w:link w:val="832"/>
  </w:style>
  <w:style w:type="character" w:styleId="866">
    <w:name w:val="Название Знак"/>
    <w:next w:val="866"/>
    <w:link w:val="832"/>
    <w:rPr>
      <w:rFonts w:ascii="Arial" w:hAnsi="Arial" w:eastAsia="Times New Roman" w:cs="Arial"/>
      <w:sz w:val="52"/>
      <w:szCs w:val="20"/>
    </w:rPr>
  </w:style>
  <w:style w:type="character" w:styleId="867">
    <w:name w:val="Основной текст с отступом Знак"/>
    <w:next w:val="867"/>
    <w:link w:val="832"/>
    <w:rPr>
      <w:rFonts w:ascii="Times New Roman" w:hAnsi="Times New Roman" w:eastAsia="Times New Roman" w:cs="Times New Roman"/>
      <w:sz w:val="24"/>
      <w:szCs w:val="24"/>
    </w:rPr>
  </w:style>
  <w:style w:type="character" w:styleId="868">
    <w:name w:val="Подзаголовок Знак"/>
    <w:next w:val="868"/>
    <w:link w:val="832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character" w:styleId="869">
    <w:name w:val="Символ нумерации"/>
    <w:next w:val="869"/>
    <w:link w:val="832"/>
  </w:style>
  <w:style w:type="character" w:styleId="870">
    <w:name w:val="Маркеры списка"/>
    <w:next w:val="870"/>
    <w:link w:val="832"/>
    <w:rPr>
      <w:rFonts w:ascii="OpenSymbol" w:hAnsi="OpenSymbol" w:eastAsia="OpenSymbol" w:cs="OpenSymbol"/>
    </w:rPr>
  </w:style>
  <w:style w:type="paragraph" w:styleId="871">
    <w:name w:val="Заголовок"/>
    <w:basedOn w:val="832"/>
    <w:next w:val="872"/>
    <w:link w:val="832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872">
    <w:name w:val="Основной текст"/>
    <w:basedOn w:val="832"/>
    <w:next w:val="872"/>
    <w:link w:val="832"/>
    <w:pPr>
      <w:spacing w:before="0" w:after="120"/>
    </w:pPr>
  </w:style>
  <w:style w:type="paragraph" w:styleId="873">
    <w:name w:val="Список"/>
    <w:basedOn w:val="872"/>
    <w:next w:val="873"/>
    <w:link w:val="832"/>
    <w:rPr>
      <w:rFonts w:cs="Mangal"/>
    </w:rPr>
  </w:style>
  <w:style w:type="paragraph" w:styleId="874">
    <w:name w:val="Название3"/>
    <w:basedOn w:val="832"/>
    <w:next w:val="874"/>
    <w:link w:val="832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75">
    <w:name w:val="Указатель3"/>
    <w:basedOn w:val="832"/>
    <w:next w:val="875"/>
    <w:link w:val="832"/>
    <w:pPr>
      <w:suppressLineNumbers/>
    </w:pPr>
    <w:rPr>
      <w:rFonts w:cs="Mangal"/>
    </w:rPr>
  </w:style>
  <w:style w:type="paragraph" w:styleId="876">
    <w:name w:val="Название2"/>
    <w:basedOn w:val="832"/>
    <w:next w:val="876"/>
    <w:link w:val="832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77">
    <w:name w:val="Указатель2"/>
    <w:basedOn w:val="832"/>
    <w:next w:val="877"/>
    <w:link w:val="832"/>
    <w:pPr>
      <w:suppressLineNumbers/>
    </w:pPr>
    <w:rPr>
      <w:rFonts w:cs="Mangal"/>
    </w:rPr>
  </w:style>
  <w:style w:type="paragraph" w:styleId="878">
    <w:name w:val="Название1"/>
    <w:basedOn w:val="832"/>
    <w:next w:val="878"/>
    <w:link w:val="832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79">
    <w:name w:val="Указатель1"/>
    <w:basedOn w:val="832"/>
    <w:next w:val="879"/>
    <w:link w:val="832"/>
    <w:pPr>
      <w:suppressLineNumbers/>
    </w:pPr>
    <w:rPr>
      <w:rFonts w:cs="Mangal"/>
    </w:rPr>
  </w:style>
  <w:style w:type="paragraph" w:styleId="880">
    <w:name w:val="Название"/>
    <w:basedOn w:val="832"/>
    <w:next w:val="881"/>
    <w:link w:val="832"/>
    <w:qFormat/>
    <w:pPr>
      <w:jc w:val="center"/>
    </w:pPr>
    <w:rPr>
      <w:rFonts w:ascii="Arial" w:hAnsi="Arial" w:cs="Arial"/>
      <w:sz w:val="52"/>
    </w:rPr>
  </w:style>
  <w:style w:type="paragraph" w:styleId="881">
    <w:name w:val="Подзаголовок"/>
    <w:basedOn w:val="832"/>
    <w:next w:val="832"/>
    <w:link w:val="832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paragraph" w:styleId="882">
    <w:name w:val="Основной текст с отступом"/>
    <w:basedOn w:val="832"/>
    <w:next w:val="882"/>
    <w:link w:val="832"/>
    <w:pPr>
      <w:ind w:left="0" w:right="0" w:firstLine="720"/>
      <w:jc w:val="both"/>
    </w:pPr>
    <w:rPr>
      <w:sz w:val="24"/>
      <w:szCs w:val="24"/>
    </w:rPr>
  </w:style>
  <w:style w:type="paragraph" w:styleId="883">
    <w:name w:val="Содержимое таблицы"/>
    <w:basedOn w:val="832"/>
    <w:next w:val="883"/>
    <w:link w:val="832"/>
    <w:pPr>
      <w:suppressLineNumbers/>
    </w:pPr>
  </w:style>
  <w:style w:type="paragraph" w:styleId="884">
    <w:name w:val="Заголовок таблицы"/>
    <w:basedOn w:val="883"/>
    <w:next w:val="884"/>
    <w:link w:val="832"/>
    <w:pPr>
      <w:jc w:val="center"/>
      <w:suppressLineNumbers/>
    </w:pPr>
    <w:rPr>
      <w:b/>
      <w:bCs/>
    </w:rPr>
  </w:style>
  <w:style w:type="paragraph" w:styleId="885">
    <w:name w:val="Текст выноски"/>
    <w:basedOn w:val="832"/>
    <w:next w:val="885"/>
    <w:link w:val="88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6">
    <w:name w:val="Текст выноски Знак"/>
    <w:next w:val="886"/>
    <w:link w:val="885"/>
    <w:uiPriority w:val="99"/>
    <w:semiHidden/>
    <w:rPr>
      <w:rFonts w:ascii="Segoe UI" w:hAnsi="Segoe UI" w:cs="Segoe UI"/>
      <w:sz w:val="18"/>
      <w:szCs w:val="18"/>
      <w:lang w:eastAsia="ar-SA"/>
    </w:rPr>
  </w:style>
  <w:style w:type="table" w:styleId="887">
    <w:name w:val="Сетка таблицы"/>
    <w:basedOn w:val="834"/>
    <w:next w:val="887"/>
    <w:link w:val="832"/>
    <w:uiPriority w:val="59"/>
    <w:tblPr/>
  </w:style>
  <w:style w:type="character" w:styleId="888" w:default="1">
    <w:name w:val="Default Paragraph Font"/>
    <w:uiPriority w:val="1"/>
    <w:semiHidden/>
    <w:unhideWhenUsed/>
  </w:style>
  <w:style w:type="numbering" w:styleId="889" w:default="1">
    <w:name w:val="No List"/>
    <w:uiPriority w:val="99"/>
    <w:semiHidden/>
    <w:unhideWhenUsed/>
  </w:style>
  <w:style w:type="table" w:styleId="8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Валиуллин Азат Миратович</dc:creator>
  <cp:lastModifiedBy>dmitrii.elizarev</cp:lastModifiedBy>
  <cp:revision>18</cp:revision>
  <dcterms:created xsi:type="dcterms:W3CDTF">2022-08-04T10:37:00Z</dcterms:created>
  <dcterms:modified xsi:type="dcterms:W3CDTF">2026-09-28T09:38:35Z</dcterms:modified>
  <cp:version>983040</cp:version>
</cp:coreProperties>
</file>